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ada77435gai" w:id="0"/>
      <w:bookmarkEnd w:id="0"/>
      <w:r w:rsidDel="00000000" w:rsidR="00000000" w:rsidRPr="00000000">
        <w:rPr>
          <w:rtl w:val="0"/>
        </w:rPr>
        <w:t xml:space="preserve">Time Reflection</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René</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Joël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Total</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4,25</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1,25</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5,50</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14,50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4,75</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19,25</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2,00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most time took to implement the actual requirements. We could not reuse that much of our initial system due to the fact that we made some wrong assumptions about the system and extended it to much.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tnxb8otj0lq8"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The model was still correct, but the layer implementing the requirements needed to be rewritten. Some parts could be reused but not much. This was mostly due the fact that we understood the requirements different than intended. Due to our architecture we could easily swap out the wrong implementation and the new way of serving clients (via json RPC).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new and clear specification really aided in the process of implementing the system. The architecture we choose aided in the development of the requirements. The first methods specified took some time, but after that the other methods could be implemented relatively quick, as a lot of code could be reused.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We did not change any of the libraries, besides the library that handles the JSON RPC. Currently it is needed to implement each method in a single class due to the way Spring works. This class will remain under heavy change due the fact that each new method needs to be specified in this class. This class only calls other classes that actual implement the functionality. We therefore may try to build this class at runtime using the classes that actually implements the functionality.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